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172A" w14:textId="77777777" w:rsidR="00BB1E15" w:rsidRPr="00B7545F" w:rsidRDefault="00BB1E15" w:rsidP="0068177A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7545F">
        <w:rPr>
          <w:rFonts w:asciiTheme="majorHAnsi" w:hAnsiTheme="majorHAnsi" w:cs="Calibri Light"/>
          <w:b/>
          <w:bCs/>
          <w:color w:val="000000" w:themeColor="text1"/>
          <w:sz w:val="32"/>
          <w:szCs w:val="32"/>
        </w:rPr>
        <w:t>COMUNICATO STAMPA</w:t>
      </w:r>
    </w:p>
    <w:p w14:paraId="095F983A" w14:textId="77777777" w:rsidR="00BB1E15" w:rsidRPr="00B7545F" w:rsidRDefault="00BB1E15" w:rsidP="0068177A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bCs/>
          <w:color w:val="000000" w:themeColor="text1"/>
          <w:sz w:val="22"/>
          <w:szCs w:val="22"/>
        </w:rPr>
      </w:pPr>
    </w:p>
    <w:p w14:paraId="335FA730" w14:textId="25F48088" w:rsidR="00BB1E15" w:rsidRPr="00B7545F" w:rsidRDefault="00731C72" w:rsidP="0068177A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Da oggi in Regione </w:t>
      </w:r>
      <w:r w:rsidR="0058488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a Milano il </w:t>
      </w:r>
      <w:r w:rsidR="00300C57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="00B06E0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onvegno “I </w:t>
      </w:r>
      <w:r w:rsidR="00D4240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</w:t>
      </w:r>
      <w:r w:rsidR="00B06E0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etwo</w:t>
      </w:r>
      <w:r w:rsidR="001F269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rk della N</w:t>
      </w:r>
      <w:r w:rsidR="0058488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utrizione </w:t>
      </w:r>
      <w:r w:rsidR="001F269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="0058488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linica 2018”</w:t>
      </w:r>
    </w:p>
    <w:p w14:paraId="6186AFEA" w14:textId="65D96098" w:rsidR="00D4240F" w:rsidRPr="00B7545F" w:rsidRDefault="00CB525A" w:rsidP="0068177A">
      <w:pPr>
        <w:autoSpaceDE w:val="0"/>
        <w:jc w:val="center"/>
        <w:rPr>
          <w:rFonts w:asciiTheme="majorHAnsi" w:hAnsiTheme="majorHAnsi" w:cs="Calibri Light"/>
          <w:b/>
          <w:color w:val="000000" w:themeColor="text1"/>
          <w:sz w:val="32"/>
          <w:szCs w:val="32"/>
        </w:rPr>
      </w:pPr>
      <w:r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Malnutrizione, in ospedale a rischio oltre un paziente </w:t>
      </w:r>
      <w:r w:rsidR="00D4240F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su</w:t>
      </w:r>
      <w:r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 tre</w:t>
      </w:r>
    </w:p>
    <w:p w14:paraId="3988CACA" w14:textId="37D20632" w:rsidR="0068177A" w:rsidRPr="00B7545F" w:rsidRDefault="00CB525A" w:rsidP="00CB525A">
      <w:pPr>
        <w:autoSpaceDE w:val="0"/>
        <w:jc w:val="center"/>
        <w:rPr>
          <w:rFonts w:asciiTheme="majorHAnsi" w:hAnsiTheme="majorHAnsi" w:cs="Calibri Light"/>
          <w:b/>
          <w:color w:val="000000" w:themeColor="text1"/>
          <w:sz w:val="32"/>
          <w:szCs w:val="32"/>
        </w:rPr>
      </w:pPr>
      <w:r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La L</w:t>
      </w:r>
      <w:r w:rsidR="00E32C43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ombardia</w:t>
      </w:r>
      <w:r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 si attrezza per creare una</w:t>
      </w:r>
      <w:r w:rsidR="00D4240F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 Rete di N</w:t>
      </w:r>
      <w:r w:rsidR="00E32C43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u</w:t>
      </w:r>
      <w:r w:rsidR="003F4F04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trizione</w:t>
      </w:r>
      <w:r w:rsidR="0068177A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 </w:t>
      </w:r>
      <w:r w:rsidR="00D4240F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C</w:t>
      </w:r>
      <w:r w:rsidR="0068177A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>linica</w:t>
      </w:r>
      <w:r w:rsidR="00E32C43" w:rsidRPr="00B7545F">
        <w:rPr>
          <w:rFonts w:asciiTheme="majorHAnsi" w:hAnsiTheme="majorHAnsi" w:cs="Calibri Light"/>
          <w:b/>
          <w:color w:val="000000" w:themeColor="text1"/>
          <w:sz w:val="32"/>
          <w:szCs w:val="32"/>
        </w:rPr>
        <w:t xml:space="preserve"> </w:t>
      </w:r>
    </w:p>
    <w:p w14:paraId="2714323B" w14:textId="77777777" w:rsidR="00BA4F38" w:rsidRPr="00B7545F" w:rsidRDefault="00BA4F38" w:rsidP="00731C72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i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Questo dato, che resta naturalmente sottostimato,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riguarda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soprattutto persone con obesità e disturbi del comportamento alimentare, </w:t>
      </w:r>
      <w:r w:rsidR="004602D1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con 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malattie oncologiche, neurologiche e neurodegenerative, o pazienti in condizioni</w:t>
      </w:r>
      <w:r w:rsidR="00C260A2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di fragilità,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come 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anziani e bambini. </w:t>
      </w:r>
    </w:p>
    <w:p w14:paraId="5D696473" w14:textId="662C678D" w:rsidR="00C260A2" w:rsidRPr="00B7545F" w:rsidRDefault="0068177A" w:rsidP="00731C72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i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L’attivazione </w:t>
      </w:r>
      <w:r w:rsidR="00E32C43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di Serv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i</w:t>
      </w:r>
      <w:r w:rsidR="00E32C43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zi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/Unità/Team</w:t>
      </w:r>
      <w:r w:rsidR="00E32C43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di Nutr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i</w:t>
      </w:r>
      <w:r w:rsidR="00E32C43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zione Clinica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d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edicati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,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con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figure professionali referenti, programmi formativi</w:t>
      </w:r>
      <w:r w:rsidR="00C260A2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, percorsi terapeutici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che tutelino il paziente dalla presa in carico 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fino all’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assistenza nutrizionale artificiale domiciliare, programmi di informatizzazione per la tracciab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ilità dell’offerta terapeutica,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apporterebbe</w:t>
      </w:r>
      <w:r w:rsidR="004602D1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ro</w:t>
      </w:r>
      <w:r w:rsidR="00BA4F3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vantaggi </w:t>
      </w:r>
      <w:r w:rsidR="00BA4F3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davvero importanti 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per il 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paziente,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ridu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cendo il rischio di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complicanze, 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di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interruzione di trattamenti, 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di </w:t>
      </w:r>
      <w:proofErr w:type="spellStart"/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riospedalizzazioni</w:t>
      </w:r>
      <w:proofErr w:type="spellEnd"/>
      <w:r w:rsidR="00BA4F3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,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e 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per </w:t>
      </w:r>
      <w:r w:rsidR="00B536B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la sanità</w:t>
      </w:r>
      <w:r w:rsidR="00BA4F3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, grazie a</w:t>
      </w:r>
      <w:r w:rsidR="00A070A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l </w:t>
      </w:r>
      <w:r w:rsidR="00215369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contenimento della spesa assistenziale e pubblica, pari an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che a diversi mili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oni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di euro.</w:t>
      </w:r>
      <w:r w:rsidR="00731C72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</w:p>
    <w:p w14:paraId="75112733" w14:textId="6C849E5B" w:rsidR="00BB1E15" w:rsidRPr="00B7545F" w:rsidRDefault="00215369" w:rsidP="00731C72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i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I nutrizionisti clinici lombardi </w:t>
      </w:r>
      <w:r w:rsidR="0068177A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si 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coordinano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="00D4240F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i</w:t>
      </w: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n Regione Lombardia e </w:t>
      </w:r>
      <w:r w:rsidR="00731C72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fanno il punto a Milano</w:t>
      </w:r>
      <w:r w:rsidR="006E6EA4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a </w:t>
      </w:r>
      <w:r w:rsidR="00B536B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quasi </w:t>
      </w:r>
      <w:r w:rsidR="006E6EA4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trent’anni di distanza dalla prima </w:t>
      </w:r>
      <w:r w:rsidR="00B536B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e unica </w:t>
      </w:r>
      <w:r w:rsidR="006E6EA4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delibera su</w:t>
      </w:r>
      <w:r w:rsidR="00B536B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lla</w:t>
      </w:r>
      <w:r w:rsidR="006E6EA4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 xml:space="preserve"> </w:t>
      </w:r>
      <w:r w:rsidR="00B536B8"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nutrizione artificiale domiciliare, allora poco conosciuta e studiata</w:t>
      </w:r>
    </w:p>
    <w:p w14:paraId="2E19C757" w14:textId="77777777" w:rsidR="00BB1E15" w:rsidRPr="00B7545F" w:rsidRDefault="00BB1E15" w:rsidP="0068177A">
      <w:pPr>
        <w:tabs>
          <w:tab w:val="left" w:pos="10206"/>
        </w:tabs>
        <w:autoSpaceDE w:val="0"/>
        <w:jc w:val="center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11670F33" w14:textId="559C85CB" w:rsidR="00693B7C" w:rsidRPr="00B7545F" w:rsidRDefault="00BB1E15" w:rsidP="0068177A">
      <w:pPr>
        <w:jc w:val="both"/>
        <w:rPr>
          <w:rFonts w:asciiTheme="majorHAnsi" w:hAnsiTheme="majorHAnsi" w:cs="Calibri Light"/>
          <w:b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Milano, </w:t>
      </w:r>
      <w:r w:rsidR="0001005B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14 Novembre</w:t>
      </w: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2018 – 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‘Malnutriti’ dall’erogaz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ione inadeguata o dall’assenza 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di 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monitoraggio appropriato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. È il rischio cui 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sono esposti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6E6EA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un terzo dei pazienti ospedalizzati,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3715B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in particolare </w:t>
      </w:r>
      <w:r w:rsidR="006E6EA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coloro che soffrono di 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obesità, patologie oncologiche, disturbi del comportamento alimentare, 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p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roblematiche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neurologiche e neurodegenerative </w:t>
      </w:r>
      <w:r w:rsidR="001F429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o in condizione di fragilità, come anziani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e 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bambini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. </w:t>
      </w:r>
      <w:r w:rsidR="002D1EC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Una condizione che pesa doppiamente sulla spesa pubblica e assistenziale: sul paziente,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in primo luogo, </w:t>
      </w:r>
      <w:r w:rsidR="002D1EC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impossibilitato a sostenere fisiologicamente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e con continuità </w:t>
      </w:r>
      <w:r w:rsidR="002D1EC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l’impatto di cure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importanti e debilitanti</w:t>
      </w:r>
      <w:r w:rsidR="002D1EC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, come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 </w:t>
      </w:r>
      <w:r w:rsidR="002D1EC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cicli di chemioterapia,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a detrimento dell’efficacia e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della risposta al trattamento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,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e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poi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sul sistema sanitario</w:t>
      </w:r>
      <w:r w:rsidR="00126AF7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,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costretto a sostenere costi elevati associati a un più alto rischio di complicanze, riammissioni per ricoveri ospedalieri, interruzioni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e riperse </w:t>
      </w:r>
      <w:r w:rsidR="005B653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di terapie. 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Implic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azioni ed evidenze invece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controllabili e gestibili con l’attivazione d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 S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ervizi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/Unità/Team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di Nutrizione Clinica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all’interno d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egl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i 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o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spedali</w:t>
      </w:r>
      <w:r w:rsidR="00B93EE6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, gestit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</w:t>
      </w:r>
      <w:r w:rsidR="00B93EE6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da figure professionali dedicate, adeguatamente formate 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alla presa in carico del paziente bisognoso di </w:t>
      </w:r>
      <w:r w:rsidR="001F269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supporto nutrizionale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,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e </w:t>
      </w:r>
      <w:r w:rsidR="00E65F8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operative 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su tutto il territorio regionale </w:t>
      </w:r>
      <w:r w:rsidR="00B93EE6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secondo programmi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condivisi</w:t>
      </w:r>
      <w:r w:rsidR="00B93EE6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dalle</w:t>
      </w:r>
      <w:r w:rsidR="00B93EE6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strutture referenti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. 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Un percorso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regolamentato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da un sistema informatico che consenta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la tracciabilità e valutazione del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le prescri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zioni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terapeutiche,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al fine di 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limita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re 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inutilità e sprechi. In quest’ottica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,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per la prima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volta</w:t>
      </w:r>
      <w:r w:rsidR="006E6EA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dal 1992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,</w:t>
      </w:r>
      <w:r w:rsidR="00B6709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</w:t>
      </w:r>
      <w:r w:rsidR="006E6EA4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anno in cui fu emanata una prima lungimirante delibera Regionale, 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 nutri</w:t>
      </w:r>
      <w:r w:rsidR="00F90B8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zionisti Lombardi,</w:t>
      </w:r>
      <w:r w:rsidR="00306BB9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le maggiori società scientifiche e associazioni di settore fanno alleanza </w:t>
      </w:r>
      <w:r w:rsidR="00F90B8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con le istituzioni e Regione Lombardia per 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implementare</w:t>
      </w:r>
      <w:r w:rsidR="00F90B8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un piano </w:t>
      </w:r>
      <w:r w:rsidR="004602D1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di</w:t>
      </w:r>
      <w:r w:rsidR="00F90B8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presa in carico efficace ed efficiente del paziente ‘fragile’, avviando programmi formativi, studi di farmaco-economia, strategie sinergiche. Ovvero un modello virtuoso di ‘Nutr</w:t>
      </w:r>
      <w:r w:rsidR="00693B7C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i</w:t>
      </w:r>
      <w:r w:rsidR="00F90B83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zione Clinica’ che da Regione</w:t>
      </w:r>
      <w:r w:rsidR="00693B7C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Lombardia sia esportabile su tutto il territorio nazionale. Sono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questi alcuni dei temi</w:t>
      </w:r>
      <w:r w:rsidR="00693B7C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e delle proposte che verranno discusse e auspicabilmente attivate </w:t>
      </w:r>
      <w:r w:rsidR="00A070A8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durante il</w:t>
      </w:r>
      <w:r w:rsidR="007A2B2A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 Convegno “I N</w:t>
      </w:r>
      <w:r w:rsidR="00693B7C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 xml:space="preserve">etwork della Nutrizione Clinica 2018”, in corso a Milano (14-15 Novembre) presso Palazzo </w:t>
      </w:r>
      <w:r w:rsidR="00FB1AA5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Pirelli della Regione Lombardia.</w:t>
      </w:r>
    </w:p>
    <w:p w14:paraId="0DA52A49" w14:textId="77777777" w:rsidR="00BB1E15" w:rsidRPr="00B7545F" w:rsidRDefault="00BB1E15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36A48414" w14:textId="3153FDF2" w:rsidR="00D8227C" w:rsidRPr="00B7545F" w:rsidRDefault="004602D1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“</w:t>
      </w:r>
      <w:r w:rsidR="006B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Grazie alla disponibilità di 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Regione Lo</w:t>
      </w:r>
      <w:r w:rsidR="006B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mbardia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–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spiega </w:t>
      </w: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Riccardo Caccialanza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che dirige l’unità operativa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complessa 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di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D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ietetica e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utrizione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linica 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al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San Matteo di Pavia –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ci stiamo coordinando come gruppo di nutrizionisti clinici lombardi per far fronte a livello di sistema al problema della malnutrizione 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che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,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in eccesso o in difetto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,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p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uò 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compromette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re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la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salute di un numero enorme di cittadini, nonché l’efficacia delle cure mediche.</w:t>
      </w:r>
      <w:r w:rsidR="00C0723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Per quanto riguarda i soli pazienti che devono sottoporsi alla nutrizione artificiale domiciliare, p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arliamo di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un numero, sicuramente sottostimato,</w:t>
      </w:r>
      <w:r w:rsidR="001E55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di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lastRenderedPageBreak/>
        <w:t xml:space="preserve">8000 famiglie coinvolte 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nella sola regione Lombardia,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cui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è raramente garantita la presa in carico da parte di </w:t>
      </w:r>
      <w:r w:rsidR="001E55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Servizi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/Unità/Team</w:t>
      </w:r>
      <w:r w:rsidR="001E55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di Nutrizione Clinica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dedicati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.</w:t>
      </w:r>
      <w:r w:rsidR="00BF17C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</w:p>
    <w:p w14:paraId="1D061B50" w14:textId="77777777" w:rsidR="00D8227C" w:rsidRPr="00B7545F" w:rsidRDefault="00D8227C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1B4BADE8" w14:textId="3272C06D" w:rsidR="004602D1" w:rsidRPr="00B7545F" w:rsidRDefault="00D8227C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“</w:t>
      </w:r>
      <w:r w:rsidR="00D65DE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Stiamo lavorando affinché in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L</w:t>
      </w:r>
      <w:r w:rsidR="00BF17C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ombardia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– gli fa eco </w:t>
      </w: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Ettore Corradi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che dirige la struttura complessa di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D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ietetica e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utrizione </w:t>
      </w:r>
      <w:r w:rsidR="00794F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linica, oltre che Centro per la Cura dei Disturbi del Comportamento Alimentare al Niguarda di Milano – </w:t>
      </w:r>
      <w:r w:rsidR="00634C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sia finalmente </w:t>
      </w:r>
      <w:r w:rsidR="00BF17C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attiva</w:t>
      </w:r>
      <w:r w:rsidR="00634C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ta</w:t>
      </w:r>
      <w:r w:rsidR="00DF6EF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una ‘rete’ di N</w:t>
      </w:r>
      <w:r w:rsidR="00BF17C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utrizione </w:t>
      </w:r>
      <w:r w:rsidR="00DF6EFF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="00634C0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linica</w:t>
      </w:r>
      <w:r w:rsidR="00A74F6A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che possa creare dei percorsi clinici virtuosi diversificati a seconda delle diverse condizioni patologiche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”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. </w:t>
      </w:r>
    </w:p>
    <w:p w14:paraId="670DB5F5" w14:textId="77777777" w:rsidR="004602D1" w:rsidRPr="00B7545F" w:rsidRDefault="004602D1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184A8E9E" w14:textId="2D2A1A7D" w:rsidR="005D01B6" w:rsidRPr="00B7545F" w:rsidRDefault="00BF17C4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“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Sempre in tema di nutrizione artificiale domiciliare, che riguarda ovviamente la fascia dei pazienti più fragili, affetti ad esempio da patolog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ie oncologiche e neurologiche, 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l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a d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elibera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emanata nel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lontano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19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92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–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spiega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ancora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Caccialanz</w:t>
      </w:r>
      <w:r w:rsidR="00D8227C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a</w:t>
      </w:r>
      <w:r w:rsidR="00D8227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–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per quanto lungimirante, 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</w:t>
      </w:r>
      <w:r w:rsidR="0088075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on 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ha trovato piena applicazione sul territorio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regionale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non 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avendo </w:t>
      </w:r>
      <w:r w:rsidR="0088075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identifica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t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 </w:t>
      </w:r>
      <w:r w:rsidR="0088075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figure 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referenti per la presa in carico e la prescrizione terapeutica specifica per il paziente bisognos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o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di nutrizione artificiale, ovvero abilitando qualunque 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medic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 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delle 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varie 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unità operative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ospedaliere</w:t>
      </w:r>
      <w:r w:rsidR="0093392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alla prescr</w:t>
      </w:r>
      <w:r w:rsidR="00AD6A19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i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zione</w:t>
      </w:r>
      <w:r w:rsidR="005D01B6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</w:t>
      </w:r>
      <w:r w:rsidR="006C046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ma </w:t>
      </w:r>
      <w:r w:rsidR="002265AC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neppure </w:t>
      </w:r>
      <w:r w:rsidR="005D01B6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percorsi</w:t>
      </w:r>
      <w:r w:rsidR="00AD6A19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dedicati e </w:t>
      </w:r>
      <w:r w:rsidR="005D01B6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centri </w:t>
      </w:r>
      <w:proofErr w:type="spellStart"/>
      <w:r w:rsidR="005D01B6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prescrittori</w:t>
      </w:r>
      <w:proofErr w:type="spellEnd"/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. 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Trent’anni fa, infatti, l’ar</w:t>
      </w:r>
      <w:r w:rsidR="0053516E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gomento era davvero agli albori.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Oggi</w:t>
      </w:r>
      <w:r w:rsidR="0053516E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,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invece</w:t>
      </w:r>
      <w:r w:rsidR="0053516E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,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è diventato fondamentale, è stato studiato e si è sviluppato con evidenze scientifiche allora impensabili. </w:t>
      </w:r>
      <w:r w:rsidR="00E23F0D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Vorremo quindi 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colmare questa carenza</w:t>
      </w:r>
      <w:r w:rsidR="00AD6A19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”. </w:t>
      </w:r>
    </w:p>
    <w:p w14:paraId="3CBCC7EA" w14:textId="5EDDA0C9" w:rsidR="00D8227C" w:rsidRPr="00B7545F" w:rsidRDefault="00D8227C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434BB82C" w14:textId="04647AF6" w:rsidR="00C260A2" w:rsidRPr="00B7545F" w:rsidRDefault="00D8227C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Ecco perché il progetto dei nutrizionisti clinici lombardi, insieme alle Società Scientifiche e alla Associazioni </w:t>
      </w:r>
      <w:r w:rsidR="00961AB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dei pazienti,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parte proprio dall’organizzazione di Servizi</w:t>
      </w:r>
      <w:r w:rsidR="00961AB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/Unità/Team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di Nutrizione </w:t>
      </w:r>
      <w:r w:rsidR="00961AB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linica in una ‘rete’ vera e propria</w:t>
      </w:r>
      <w:r w:rsidR="00961AB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, coordinata da Regione Lombardia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. </w:t>
      </w:r>
    </w:p>
    <w:p w14:paraId="5BAC7A09" w14:textId="77777777" w:rsidR="00C260A2" w:rsidRPr="00B7545F" w:rsidRDefault="00C260A2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749AE4EC" w14:textId="77777777" w:rsidR="006E6EA4" w:rsidRPr="00B7545F" w:rsidRDefault="00D8227C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“L’intenzione – spiegano </w:t>
      </w:r>
      <w:r w:rsidR="00C260A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Caccialanza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e </w:t>
      </w:r>
      <w:r w:rsidR="00C260A2"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Corradi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che sono anche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i responsabili </w:t>
      </w:r>
      <w:r w:rsidR="00C260A2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scientifici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del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onvegno – è di attivare con Regione Lombardia dei </w:t>
      </w:r>
      <w:r w:rsidR="006E6EA4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tavoli t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ecnici utili a identificare percorsi nutrizionali condivisi per affrontare l’epidemia della malnutrizione per difetto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ed eccesso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in tutte le patologie e che riguardano la gran parte di pazienti ospedalizzati. Il nostro obiettivo, unitamente a quello del Convegno, è di porre attenzione sulla necessità di standardizzare trattamenti e percorsi, comprendendo anche un piano formativo per dotare ogni ospedale di almeno uno o due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referenti responsabili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dell’attivazione della nutrizione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artificiale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domiciliare che garantiscano la presa in carico, il follow-up e l’indirizzo dei pazienti a centri di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N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utrizione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linica specializzati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(i cosiddetti </w:t>
      </w:r>
      <w:proofErr w:type="spellStart"/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hub</w:t>
      </w:r>
      <w:proofErr w:type="spellEnd"/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)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, quando necessario”. </w:t>
      </w:r>
    </w:p>
    <w:p w14:paraId="0DEB954C" w14:textId="33AC508C" w:rsidR="00D8227C" w:rsidRPr="00B7545F" w:rsidRDefault="00D8227C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“Occorre anche un sistema adeguato di informatizzazione – aggiunge </w:t>
      </w:r>
      <w:r w:rsidRPr="00B7545F">
        <w:rPr>
          <w:rFonts w:asciiTheme="majorHAnsi" w:hAnsiTheme="majorHAnsi" w:cs="Calibri Light"/>
          <w:b/>
          <w:color w:val="000000" w:themeColor="text1"/>
          <w:sz w:val="22"/>
          <w:szCs w:val="22"/>
        </w:rPr>
        <w:t>Corradi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– affinché sia possibile tracciare e valutare le prescrizioni in un’ottica di </w:t>
      </w:r>
      <w:r w:rsidR="00CC20C5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controllo dell’appropriatezza prescrittiva, dell’efficacia della terapia nutrizionale e del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contenimento degli sprechi. Ovvero prevedendo una migliore, più appropriata e conforme erogazione del servizio sul territorio, senza un aggravio eccessivo dei costi e la definizione di normative chiare che garantiscano il percorso assistenziale del paziente in tutte le sue fasi, dalla presa in carico alla dimissione fino alla gestione domiciliare”.</w:t>
      </w:r>
    </w:p>
    <w:p w14:paraId="1FC8E1B5" w14:textId="77777777" w:rsidR="00226AB3" w:rsidRPr="00B7545F" w:rsidRDefault="00226AB3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21CB2B80" w14:textId="6F78295B" w:rsidR="00D8227C" w:rsidRPr="00B7545F" w:rsidRDefault="00D8227C" w:rsidP="00D8227C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“Intendiamo creare un modello virtuoso di </w:t>
      </w:r>
      <w:r w:rsidR="003715B1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gestione della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Nutrizione Clinica – conclud</w:t>
      </w:r>
      <w:r w:rsidR="003715B1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>ono</w:t>
      </w:r>
      <w:r w:rsidR="00226AB3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gli esperti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 – che dallo studio degli aspetti formativi, dalla definizione di figure dedicate, da studi di farmaco-economia e dall’attivazione di strategiche sinergie, partendo da Regione Lombardia </w:t>
      </w:r>
      <w:r w:rsidR="003715B1"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e con la collaborazione delle Associazioni dei pazienti e delle Società Scientifiche di riferimento </w:t>
      </w:r>
      <w:r w:rsidRPr="00B7545F">
        <w:rPr>
          <w:rFonts w:asciiTheme="majorHAnsi" w:hAnsiTheme="majorHAnsi" w:cs="Calibri Light"/>
          <w:color w:val="000000" w:themeColor="text1"/>
          <w:sz w:val="22"/>
          <w:szCs w:val="22"/>
        </w:rPr>
        <w:t xml:space="preserve">sia esportabile su tutto il territorio nazionale a vantaggio del paziente e del Sistema Salute”. </w:t>
      </w:r>
    </w:p>
    <w:p w14:paraId="0A508B65" w14:textId="77777777" w:rsidR="00D8227C" w:rsidRPr="00B7545F" w:rsidRDefault="00D8227C" w:rsidP="00D8227C">
      <w:pPr>
        <w:rPr>
          <w:rFonts w:asciiTheme="majorHAnsi" w:hAnsiTheme="majorHAnsi" w:cs="Calibri Light"/>
          <w:color w:val="000000" w:themeColor="text1"/>
        </w:rPr>
      </w:pPr>
    </w:p>
    <w:p w14:paraId="09756F93" w14:textId="77777777" w:rsidR="00D8227C" w:rsidRPr="00B7545F" w:rsidRDefault="00D8227C" w:rsidP="0068177A">
      <w:pPr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</w:p>
    <w:p w14:paraId="021569AC" w14:textId="3BFE3D77" w:rsidR="00D8227C" w:rsidRPr="00B7545F" w:rsidRDefault="00D8227C" w:rsidP="0068177A">
      <w:pPr>
        <w:jc w:val="both"/>
        <w:rPr>
          <w:rFonts w:asciiTheme="majorHAnsi" w:hAnsiTheme="majorHAnsi" w:cs="Calibri Light"/>
          <w:i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Ufficio stampa</w:t>
      </w:r>
    </w:p>
    <w:p w14:paraId="2388C244" w14:textId="328EB1A4" w:rsidR="00D8227C" w:rsidRPr="00B7545F" w:rsidRDefault="00D8227C" w:rsidP="0068177A">
      <w:pPr>
        <w:jc w:val="both"/>
        <w:rPr>
          <w:rFonts w:asciiTheme="majorHAnsi" w:hAnsiTheme="majorHAnsi" w:cs="Calibri Light"/>
          <w:i/>
          <w:color w:val="000000" w:themeColor="text1"/>
          <w:sz w:val="22"/>
          <w:szCs w:val="22"/>
        </w:rPr>
      </w:pPr>
      <w:r w:rsidRPr="00B7545F">
        <w:rPr>
          <w:rFonts w:asciiTheme="majorHAnsi" w:hAnsiTheme="majorHAnsi" w:cs="Calibri Light"/>
          <w:i/>
          <w:color w:val="000000" w:themeColor="text1"/>
          <w:sz w:val="22"/>
          <w:szCs w:val="22"/>
        </w:rPr>
        <w:t>Carlo Buffoli (349.6355598)</w:t>
      </w:r>
    </w:p>
    <w:sectPr w:rsidR="00D8227C" w:rsidRPr="00B7545F" w:rsidSect="00731C72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D"/>
    <w:rsid w:val="0001005B"/>
    <w:rsid w:val="0002475E"/>
    <w:rsid w:val="00034CF6"/>
    <w:rsid w:val="0005346A"/>
    <w:rsid w:val="00126AF7"/>
    <w:rsid w:val="00141C1B"/>
    <w:rsid w:val="001970A4"/>
    <w:rsid w:val="001A7AEF"/>
    <w:rsid w:val="001E550C"/>
    <w:rsid w:val="001F2693"/>
    <w:rsid w:val="001F429A"/>
    <w:rsid w:val="00215369"/>
    <w:rsid w:val="002265AC"/>
    <w:rsid w:val="00226AB3"/>
    <w:rsid w:val="00282163"/>
    <w:rsid w:val="002D1EC9"/>
    <w:rsid w:val="00300C57"/>
    <w:rsid w:val="00306BB9"/>
    <w:rsid w:val="003715B1"/>
    <w:rsid w:val="003A5E5A"/>
    <w:rsid w:val="003F4F04"/>
    <w:rsid w:val="004602D1"/>
    <w:rsid w:val="005105F0"/>
    <w:rsid w:val="00523C27"/>
    <w:rsid w:val="0053516E"/>
    <w:rsid w:val="00575E8D"/>
    <w:rsid w:val="0058488C"/>
    <w:rsid w:val="005B6532"/>
    <w:rsid w:val="005D01B6"/>
    <w:rsid w:val="00634C0C"/>
    <w:rsid w:val="00666E86"/>
    <w:rsid w:val="0068177A"/>
    <w:rsid w:val="00693B7C"/>
    <w:rsid w:val="006B3F0D"/>
    <w:rsid w:val="006C0464"/>
    <w:rsid w:val="006E6EA4"/>
    <w:rsid w:val="00731C72"/>
    <w:rsid w:val="0073663D"/>
    <w:rsid w:val="007541F2"/>
    <w:rsid w:val="00794FB3"/>
    <w:rsid w:val="007A2B2A"/>
    <w:rsid w:val="007B0217"/>
    <w:rsid w:val="007E3D1F"/>
    <w:rsid w:val="008033B7"/>
    <w:rsid w:val="00811DC8"/>
    <w:rsid w:val="00832946"/>
    <w:rsid w:val="00880752"/>
    <w:rsid w:val="0093392D"/>
    <w:rsid w:val="00961AB2"/>
    <w:rsid w:val="009725B7"/>
    <w:rsid w:val="009843DA"/>
    <w:rsid w:val="009D72AF"/>
    <w:rsid w:val="00A070A8"/>
    <w:rsid w:val="00A74F6A"/>
    <w:rsid w:val="00A75E38"/>
    <w:rsid w:val="00AD6A19"/>
    <w:rsid w:val="00AF1E39"/>
    <w:rsid w:val="00B06E0F"/>
    <w:rsid w:val="00B26B0C"/>
    <w:rsid w:val="00B41C49"/>
    <w:rsid w:val="00B536B8"/>
    <w:rsid w:val="00B67094"/>
    <w:rsid w:val="00B7545F"/>
    <w:rsid w:val="00B758F9"/>
    <w:rsid w:val="00B93EE6"/>
    <w:rsid w:val="00BA4F38"/>
    <w:rsid w:val="00BB1E15"/>
    <w:rsid w:val="00BB23CE"/>
    <w:rsid w:val="00BC3055"/>
    <w:rsid w:val="00BF17C4"/>
    <w:rsid w:val="00C0723F"/>
    <w:rsid w:val="00C260A2"/>
    <w:rsid w:val="00CB525A"/>
    <w:rsid w:val="00CC20C5"/>
    <w:rsid w:val="00CD519E"/>
    <w:rsid w:val="00D006A6"/>
    <w:rsid w:val="00D40DF0"/>
    <w:rsid w:val="00D4240F"/>
    <w:rsid w:val="00D65DE4"/>
    <w:rsid w:val="00D75C73"/>
    <w:rsid w:val="00D8227C"/>
    <w:rsid w:val="00DC02A4"/>
    <w:rsid w:val="00DD427A"/>
    <w:rsid w:val="00DF6EFF"/>
    <w:rsid w:val="00E04445"/>
    <w:rsid w:val="00E23F0D"/>
    <w:rsid w:val="00E32C43"/>
    <w:rsid w:val="00E65F89"/>
    <w:rsid w:val="00EB5EB7"/>
    <w:rsid w:val="00F90B83"/>
    <w:rsid w:val="00FA1E50"/>
    <w:rsid w:val="00FB1AA5"/>
    <w:rsid w:val="00FE23A2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984BA"/>
  <w14:defaultImageDpi w14:val="300"/>
  <w15:docId w15:val="{CA867C9D-9252-134C-9813-4DAE27E8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C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C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Morelli</dc:creator>
  <cp:keywords/>
  <dc:description/>
  <cp:lastModifiedBy>Urti Antonio</cp:lastModifiedBy>
  <cp:revision>2</cp:revision>
  <dcterms:created xsi:type="dcterms:W3CDTF">2018-11-13T11:21:00Z</dcterms:created>
  <dcterms:modified xsi:type="dcterms:W3CDTF">2018-11-13T11:21:00Z</dcterms:modified>
</cp:coreProperties>
</file>