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E6" w:rsidRDefault="00717FE6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bookmarkStart w:id="0" w:name="_GoBack"/>
      <w:bookmarkEnd w:id="0"/>
    </w:p>
    <w:p w:rsidR="00353BAF" w:rsidRDefault="00E27F24" w:rsidP="00353BAF">
      <w:pPr>
        <w:spacing w:after="0" w:line="240" w:lineRule="auto"/>
        <w:rPr>
          <w:rFonts w:ascii="Century Gothic" w:hAnsi="Century Gothic" w:cs="Myanmar Text"/>
        </w:rPr>
      </w:pPr>
      <w:r>
        <w:rPr>
          <w:rFonts w:ascii="Century Gothic" w:hAnsi="Century Gothic" w:cs="Myanmar Text"/>
        </w:rPr>
        <w:t>Pavia, 20 marzo 2018</w:t>
      </w:r>
    </w:p>
    <w:p w:rsidR="00E27F24" w:rsidRDefault="00E27F24" w:rsidP="00353BAF">
      <w:pPr>
        <w:spacing w:after="0" w:line="240" w:lineRule="auto"/>
        <w:rPr>
          <w:rFonts w:ascii="Century Gothic" w:hAnsi="Century Gothic" w:cs="Myanmar Text"/>
        </w:rPr>
      </w:pPr>
    </w:p>
    <w:p w:rsidR="00E27F24" w:rsidRDefault="00E27F24" w:rsidP="00353BAF">
      <w:pPr>
        <w:spacing w:after="0" w:line="240" w:lineRule="auto"/>
        <w:rPr>
          <w:rFonts w:ascii="Century Gothic" w:hAnsi="Century Gothic" w:cs="Myanmar Text"/>
        </w:rPr>
      </w:pPr>
    </w:p>
    <w:p w:rsidR="00E27F24" w:rsidRDefault="00E27F24" w:rsidP="00353BAF">
      <w:pPr>
        <w:spacing w:after="0" w:line="240" w:lineRule="auto"/>
        <w:rPr>
          <w:rFonts w:ascii="Century Gothic" w:hAnsi="Century Gothic" w:cs="Myanmar Text"/>
        </w:rPr>
      </w:pPr>
      <w:r>
        <w:rPr>
          <w:rFonts w:ascii="Century Gothic" w:hAnsi="Century Gothic" w:cs="Myanmar Text"/>
        </w:rPr>
        <w:t>COMUNICATO</w:t>
      </w:r>
    </w:p>
    <w:p w:rsidR="00E27F24" w:rsidRDefault="00E27F24" w:rsidP="00353BAF">
      <w:pPr>
        <w:spacing w:after="0" w:line="240" w:lineRule="auto"/>
        <w:rPr>
          <w:rFonts w:ascii="Century Gothic" w:hAnsi="Century Gothic" w:cs="Myanmar Text"/>
        </w:rPr>
      </w:pPr>
    </w:p>
    <w:p w:rsidR="003B2C6F" w:rsidRDefault="003B2C6F" w:rsidP="00353BAF">
      <w:pPr>
        <w:spacing w:after="0" w:line="240" w:lineRule="auto"/>
        <w:rPr>
          <w:rFonts w:ascii="Century Gothic" w:hAnsi="Century Gothic" w:cs="Myanmar Text"/>
        </w:rPr>
      </w:pPr>
    </w:p>
    <w:p w:rsidR="00E27F24" w:rsidRPr="00E27F24" w:rsidRDefault="00E27F24" w:rsidP="00E27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4"/>
          <w:szCs w:val="24"/>
        </w:rPr>
      </w:pP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Uno studio </w:t>
      </w:r>
      <w:r>
        <w:rPr>
          <w:rFonts w:ascii="Century Gothic" w:hAnsi="Century Gothic" w:cs="Calibri"/>
          <w:b/>
          <w:bCs/>
          <w:sz w:val="24"/>
          <w:szCs w:val="24"/>
        </w:rPr>
        <w:t xml:space="preserve">Policlinico di 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Pavia- Duke </w:t>
      </w:r>
      <w:proofErr w:type="spellStart"/>
      <w:r w:rsidRPr="00E27F24">
        <w:rPr>
          <w:rFonts w:ascii="Century Gothic" w:hAnsi="Century Gothic" w:cs="Calibri"/>
          <w:b/>
          <w:bCs/>
          <w:sz w:val="24"/>
          <w:szCs w:val="24"/>
        </w:rPr>
        <w:t>University</w:t>
      </w:r>
      <w:proofErr w:type="spellEnd"/>
      <w:r>
        <w:rPr>
          <w:rFonts w:ascii="Century Gothic" w:hAnsi="Century Gothic" w:cs="Calibri"/>
          <w:b/>
          <w:bCs/>
          <w:sz w:val="24"/>
          <w:szCs w:val="24"/>
        </w:rPr>
        <w:t xml:space="preserve"> (USA) m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ette la </w:t>
      </w:r>
      <w:r>
        <w:rPr>
          <w:rFonts w:ascii="Century Gothic" w:hAnsi="Century Gothic" w:cs="Calibri"/>
          <w:b/>
          <w:bCs/>
          <w:sz w:val="24"/>
          <w:szCs w:val="24"/>
        </w:rPr>
        <w:t>p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arola </w:t>
      </w:r>
      <w:r>
        <w:rPr>
          <w:rFonts w:ascii="Century Gothic" w:hAnsi="Century Gothic" w:cs="Calibri"/>
          <w:b/>
          <w:bCs/>
          <w:sz w:val="24"/>
          <w:szCs w:val="24"/>
        </w:rPr>
        <w:t>f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ine </w:t>
      </w:r>
    </w:p>
    <w:p w:rsidR="00E27F24" w:rsidRPr="00E27F24" w:rsidRDefault="00E27F24" w:rsidP="00E27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24"/>
          <w:szCs w:val="24"/>
        </w:rPr>
      </w:pP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al </w:t>
      </w:r>
      <w:r>
        <w:rPr>
          <w:rFonts w:ascii="Century Gothic" w:hAnsi="Century Gothic" w:cs="Calibri"/>
          <w:b/>
          <w:bCs/>
          <w:sz w:val="24"/>
          <w:szCs w:val="24"/>
        </w:rPr>
        <w:t>f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armaco </w:t>
      </w:r>
      <w:r>
        <w:rPr>
          <w:rFonts w:ascii="Century Gothic" w:hAnsi="Century Gothic" w:cs="Calibri"/>
          <w:b/>
          <w:bCs/>
          <w:sz w:val="24"/>
          <w:szCs w:val="24"/>
        </w:rPr>
        <w:t>c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ardiologico </w:t>
      </w:r>
      <w:r>
        <w:rPr>
          <w:rFonts w:ascii="Century Gothic" w:hAnsi="Century Gothic" w:cs="Calibri"/>
          <w:b/>
          <w:bCs/>
          <w:sz w:val="24"/>
          <w:szCs w:val="24"/>
        </w:rPr>
        <w:t>p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iù </w:t>
      </w:r>
      <w:r>
        <w:rPr>
          <w:rFonts w:ascii="Century Gothic" w:hAnsi="Century Gothic" w:cs="Calibri"/>
          <w:b/>
          <w:bCs/>
          <w:sz w:val="24"/>
          <w:szCs w:val="24"/>
        </w:rPr>
        <w:t>v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 xml:space="preserve">ecchio del </w:t>
      </w:r>
      <w:r>
        <w:rPr>
          <w:rFonts w:ascii="Century Gothic" w:hAnsi="Century Gothic" w:cs="Calibri"/>
          <w:b/>
          <w:bCs/>
          <w:sz w:val="24"/>
          <w:szCs w:val="24"/>
        </w:rPr>
        <w:t>m</w:t>
      </w:r>
      <w:r w:rsidRPr="00E27F24">
        <w:rPr>
          <w:rFonts w:ascii="Century Gothic" w:hAnsi="Century Gothic" w:cs="Calibri"/>
          <w:b/>
          <w:bCs/>
          <w:sz w:val="24"/>
          <w:szCs w:val="24"/>
        </w:rPr>
        <w:t>ondo</w:t>
      </w:r>
    </w:p>
    <w:p w:rsidR="00E27F24" w:rsidRPr="00E27F24" w:rsidRDefault="00E27F24" w:rsidP="00E27F24">
      <w:pPr>
        <w:widowControl w:val="0"/>
        <w:autoSpaceDE w:val="0"/>
        <w:autoSpaceDN w:val="0"/>
        <w:adjustRightInd w:val="0"/>
        <w:rPr>
          <w:rFonts w:ascii="Century Gothic" w:hAnsi="Century Gothic" w:cs="Calibri"/>
          <w:sz w:val="32"/>
          <w:szCs w:val="32"/>
        </w:rPr>
      </w:pPr>
      <w:r w:rsidRPr="00E27F24">
        <w:rPr>
          <w:rFonts w:ascii="Century Gothic" w:hAnsi="Century Gothic" w:cs="Calibri"/>
          <w:b/>
          <w:bCs/>
          <w:sz w:val="32"/>
          <w:szCs w:val="32"/>
        </w:rPr>
        <w:t> </w:t>
      </w:r>
    </w:p>
    <w:p w:rsidR="00E27F24" w:rsidRPr="00E27F24" w:rsidRDefault="00E27F24" w:rsidP="00E27F24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 xml:space="preserve">La prima descrizione sull’uso della digitale in cardiologia risale al 1700. Da allora generazioni di medici e di cardiologi la hanno usata per curare lo scompenso cardiaco e la fibrillazione atriale. Si sa da moltissimo tempo che il rischio di tossicità per sovradosaggio è molto alto. Nonostante questo, il farmaco è inserito nell’elenco dei farmaci essenziali della Organizzazione Mondiale della Sanità ed è consigliato dalle linee guida correnti americane ed europee per la cura della fibrillazione atriale. Per questo oltre 10 milioni di pazienti assumono digitale ogni giorno. </w:t>
      </w:r>
    </w:p>
    <w:p w:rsidR="00E27F24" w:rsidRPr="00E27F24" w:rsidRDefault="00E27F24" w:rsidP="00E27F24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 xml:space="preserve">Le prime segnalazioni sul possibile rischio legato alla digitale sono di oltre 30 anni fa e negli ultimi anni la discussione se </w:t>
      </w:r>
      <w:r>
        <w:rPr>
          <w:rFonts w:ascii="Century Gothic" w:hAnsi="Century Gothic" w:cs="Calibri"/>
        </w:rPr>
        <w:t>il farmaco</w:t>
      </w:r>
      <w:r w:rsidRPr="00E27F24">
        <w:rPr>
          <w:rFonts w:ascii="Century Gothic" w:hAnsi="Century Gothic" w:cs="Calibri"/>
        </w:rPr>
        <w:t xml:space="preserve"> fosse associat</w:t>
      </w:r>
      <w:r>
        <w:rPr>
          <w:rFonts w:ascii="Century Gothic" w:hAnsi="Century Gothic" w:cs="Calibri"/>
        </w:rPr>
        <w:t>o</w:t>
      </w:r>
      <w:r w:rsidRPr="00E27F24">
        <w:rPr>
          <w:rFonts w:ascii="Century Gothic" w:hAnsi="Century Gothic" w:cs="Calibri"/>
        </w:rPr>
        <w:t xml:space="preserve"> a rischi o meno è stata molto accesa, con opinioni contrastanti. </w:t>
      </w:r>
    </w:p>
    <w:p w:rsidR="00E27F24" w:rsidRPr="00E27F24" w:rsidRDefault="00E27F24" w:rsidP="00E27F24">
      <w:pPr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>Grazie a</w:t>
      </w:r>
      <w:r>
        <w:rPr>
          <w:rFonts w:ascii="Century Gothic" w:hAnsi="Century Gothic" w:cs="Calibri"/>
        </w:rPr>
        <w:t xml:space="preserve">d </w:t>
      </w:r>
      <w:r w:rsidRPr="00E27F24">
        <w:rPr>
          <w:rFonts w:ascii="Century Gothic" w:hAnsi="Century Gothic" w:cs="Calibri"/>
        </w:rPr>
        <w:t>un accordo di collaborazione tra il Centro di Ricerca Clinica Cardiovascolare (CCRC) del San Matteo</w:t>
      </w:r>
      <w:r>
        <w:rPr>
          <w:rFonts w:ascii="Century Gothic" w:hAnsi="Century Gothic" w:cs="Calibri"/>
        </w:rPr>
        <w:t xml:space="preserve"> e </w:t>
      </w:r>
      <w:r w:rsidRPr="00E27F24">
        <w:rPr>
          <w:rFonts w:ascii="Century Gothic" w:hAnsi="Century Gothic" w:cs="Calibri"/>
        </w:rPr>
        <w:t xml:space="preserve">la Duke </w:t>
      </w:r>
      <w:proofErr w:type="spellStart"/>
      <w:r w:rsidRPr="00E27F24">
        <w:rPr>
          <w:rFonts w:ascii="Century Gothic" w:hAnsi="Century Gothic" w:cs="Calibri"/>
        </w:rPr>
        <w:t>University</w:t>
      </w:r>
      <w:proofErr w:type="spellEnd"/>
      <w:r w:rsidR="00F8694E">
        <w:rPr>
          <w:rFonts w:ascii="Century Gothic" w:hAnsi="Century Gothic" w:cs="Calibri"/>
        </w:rPr>
        <w:t xml:space="preserve"> (una delle università più famose e prestigiose degli Stati Uniti, a Durham, nella Carolina del Nord)</w:t>
      </w:r>
      <w:r w:rsidRPr="00E27F24">
        <w:rPr>
          <w:rFonts w:ascii="Century Gothic" w:hAnsi="Century Gothic" w:cs="Calibri"/>
        </w:rPr>
        <w:t xml:space="preserve"> tre cardiologi del San Matteo hanno potuto ideare e condurre una analisi su circa 17000 pazienti affetti da fibrillazione atriale in tutto il mondo, di cui 1/3 in terapia con digitale, con l’obiettivo di chiarire definitivamente il ruolo di questo farmaco. </w:t>
      </w:r>
    </w:p>
    <w:p w:rsidR="00E27F24" w:rsidRPr="00E27F24" w:rsidRDefault="00F8694E" w:rsidP="00E27F24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 risultati dell</w:t>
      </w:r>
      <w:r w:rsidR="00E27F24" w:rsidRPr="00E27F24">
        <w:rPr>
          <w:rFonts w:ascii="Century Gothic" w:hAnsi="Century Gothic" w:cs="Calibri"/>
        </w:rPr>
        <w:t>a ricerca</w:t>
      </w:r>
      <w:r>
        <w:rPr>
          <w:rFonts w:ascii="Century Gothic" w:hAnsi="Century Gothic" w:cs="Calibri"/>
        </w:rPr>
        <w:t xml:space="preserve"> dei tre specialisti del Policlinico - Gaetano De Ferrari, Roberto Rordorf e Sergio Leonardi - </w:t>
      </w:r>
      <w:r w:rsidR="00E27F24" w:rsidRPr="00E27F24">
        <w:rPr>
          <w:rFonts w:ascii="Century Gothic" w:hAnsi="Century Gothic" w:cs="Calibri"/>
        </w:rPr>
        <w:t>sono stati pubblicati in questi giorni sulla più importante rivista di cardiologia (</w:t>
      </w:r>
      <w:r w:rsidR="00E27F24" w:rsidRPr="00E27F24">
        <w:rPr>
          <w:rFonts w:ascii="Century Gothic" w:hAnsi="Century Gothic" w:cs="Calibri"/>
          <w:i/>
        </w:rPr>
        <w:t xml:space="preserve">Journal of the American College of </w:t>
      </w:r>
      <w:proofErr w:type="spellStart"/>
      <w:r w:rsidR="00E27F24" w:rsidRPr="00E27F24">
        <w:rPr>
          <w:rFonts w:ascii="Century Gothic" w:hAnsi="Century Gothic" w:cs="Calibri"/>
          <w:i/>
        </w:rPr>
        <w:t>Cardiology</w:t>
      </w:r>
      <w:proofErr w:type="spellEnd"/>
      <w:r w:rsidR="00E27F24" w:rsidRPr="00E27F24">
        <w:rPr>
          <w:rFonts w:ascii="Century Gothic" w:hAnsi="Century Gothic" w:cs="Calibri"/>
        </w:rPr>
        <w:t>)</w:t>
      </w:r>
      <w:r>
        <w:rPr>
          <w:rFonts w:ascii="Century Gothic" w:hAnsi="Century Gothic" w:cs="Calibri"/>
        </w:rPr>
        <w:t xml:space="preserve">. Lo studio </w:t>
      </w:r>
      <w:r w:rsidR="00E27F24" w:rsidRPr="00E27F24">
        <w:rPr>
          <w:rFonts w:ascii="Century Gothic" w:hAnsi="Century Gothic" w:cs="Calibri"/>
        </w:rPr>
        <w:t>ha evidenziato un aumento della mortalità</w:t>
      </w:r>
      <w:r w:rsidR="00E27F24" w:rsidRPr="00E27F24">
        <w:rPr>
          <w:rFonts w:ascii="Century Gothic" w:hAnsi="Century Gothic" w:cs="Calibri"/>
          <w:i/>
        </w:rPr>
        <w:t xml:space="preserve"> </w:t>
      </w:r>
      <w:r w:rsidR="00E27F24" w:rsidRPr="00E27F24">
        <w:rPr>
          <w:rFonts w:ascii="Century Gothic" w:hAnsi="Century Gothic" w:cs="Calibri"/>
        </w:rPr>
        <w:t xml:space="preserve">nei pazienti trattati con digitale, soprattutto nelle prime fasi del trattamento. </w:t>
      </w:r>
    </w:p>
    <w:p w:rsidR="00E27F24" w:rsidRPr="00E27F24" w:rsidRDefault="00E27F24" w:rsidP="00E27F24">
      <w:pPr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>Il grande vantaggio di quest</w:t>
      </w:r>
      <w:r w:rsidR="00F8694E">
        <w:rPr>
          <w:rFonts w:ascii="Century Gothic" w:hAnsi="Century Gothic" w:cs="Calibri"/>
        </w:rPr>
        <w:t>a ricerca</w:t>
      </w:r>
      <w:r w:rsidRPr="00E27F24">
        <w:rPr>
          <w:rFonts w:ascii="Century Gothic" w:hAnsi="Century Gothic" w:cs="Calibri"/>
        </w:rPr>
        <w:t xml:space="preserve">, rispetto ad ogni altro, consiste nel fatto di aver misurato il dosaggio di digitale nel sangue.  Si è potuto osservare come aumentando la </w:t>
      </w:r>
      <w:r w:rsidRPr="00E27F24">
        <w:rPr>
          <w:rFonts w:ascii="Century Gothic" w:hAnsi="Century Gothic" w:cs="Calibri"/>
        </w:rPr>
        <w:lastRenderedPageBreak/>
        <w:t xml:space="preserve">concentrazione del farmaco aumenta il rischio; in particolare per concentrazioni superiori a 1.2 </w:t>
      </w:r>
      <w:proofErr w:type="spellStart"/>
      <w:r w:rsidRPr="00E27F24">
        <w:rPr>
          <w:rFonts w:ascii="Century Gothic" w:hAnsi="Century Gothic" w:cs="Calibri"/>
        </w:rPr>
        <w:t>ng</w:t>
      </w:r>
      <w:proofErr w:type="spellEnd"/>
      <w:r w:rsidRPr="00E27F24">
        <w:rPr>
          <w:rFonts w:ascii="Century Gothic" w:hAnsi="Century Gothic" w:cs="Calibri"/>
        </w:rPr>
        <w:t xml:space="preserve">/ml questo aumento di rischio è significativo. </w:t>
      </w:r>
    </w:p>
    <w:p w:rsidR="00E27F24" w:rsidRPr="00E27F24" w:rsidRDefault="00E27F24" w:rsidP="00E27F24">
      <w:pPr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 xml:space="preserve">“La digitale sembra aumentare in particolare il rischio di morte aritmica – </w:t>
      </w:r>
      <w:r w:rsidR="00F8694E">
        <w:rPr>
          <w:rFonts w:ascii="Century Gothic" w:hAnsi="Century Gothic" w:cs="Calibri"/>
        </w:rPr>
        <w:t xml:space="preserve">spiega </w:t>
      </w:r>
      <w:r w:rsidRPr="00E27F24">
        <w:rPr>
          <w:rFonts w:ascii="Century Gothic" w:hAnsi="Century Gothic" w:cs="Calibri"/>
        </w:rPr>
        <w:t>Roberto Rordorf, responsabile dell</w:t>
      </w:r>
      <w:r w:rsidR="00F8694E">
        <w:rPr>
          <w:rFonts w:ascii="Century Gothic" w:hAnsi="Century Gothic" w:cs="Calibri"/>
        </w:rPr>
        <w:t xml:space="preserve">a struttura </w:t>
      </w:r>
      <w:r w:rsidRPr="00E27F24">
        <w:rPr>
          <w:rFonts w:ascii="Century Gothic" w:hAnsi="Century Gothic" w:cs="Calibri"/>
        </w:rPr>
        <w:t xml:space="preserve">di </w:t>
      </w:r>
      <w:proofErr w:type="spellStart"/>
      <w:r w:rsidRPr="00E27F24">
        <w:rPr>
          <w:rFonts w:ascii="Century Gothic" w:hAnsi="Century Gothic" w:cs="Calibri"/>
        </w:rPr>
        <w:t>Aritmologia</w:t>
      </w:r>
      <w:proofErr w:type="spellEnd"/>
      <w:r w:rsidRPr="00E27F24">
        <w:rPr>
          <w:rFonts w:ascii="Century Gothic" w:hAnsi="Century Gothic" w:cs="Calibri"/>
        </w:rPr>
        <w:t>– un effetto che è particolarmente evidente nei primi mesi dall’inizio del farmaco”.</w:t>
      </w:r>
    </w:p>
    <w:p w:rsidR="00E27F24" w:rsidRPr="00E27F24" w:rsidRDefault="00E27F24" w:rsidP="00E27F24">
      <w:pPr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 xml:space="preserve">“Ho lavorato molti anni alla Duke </w:t>
      </w:r>
      <w:proofErr w:type="spellStart"/>
      <w:r w:rsidRPr="00E27F24">
        <w:rPr>
          <w:rFonts w:ascii="Century Gothic" w:hAnsi="Century Gothic" w:cs="Calibri"/>
        </w:rPr>
        <w:t>University</w:t>
      </w:r>
      <w:proofErr w:type="spellEnd"/>
      <w:r w:rsidRPr="00E27F24">
        <w:rPr>
          <w:rFonts w:ascii="Century Gothic" w:hAnsi="Century Gothic" w:cs="Calibri"/>
        </w:rPr>
        <w:t xml:space="preserve"> e sono felice di questa pubblicazione, frutto della collaborazione tra </w:t>
      </w:r>
      <w:r w:rsidR="00F8694E">
        <w:rPr>
          <w:rFonts w:ascii="Century Gothic" w:hAnsi="Century Gothic" w:cs="Calibri"/>
        </w:rPr>
        <w:t>il San Matteo</w:t>
      </w:r>
      <w:r w:rsidRPr="00E27F24">
        <w:rPr>
          <w:rFonts w:ascii="Century Gothic" w:hAnsi="Century Gothic" w:cs="Calibri"/>
        </w:rPr>
        <w:t xml:space="preserve"> e l’Università americana e che porta prestigio al nostro </w:t>
      </w:r>
      <w:r w:rsidR="00F8694E">
        <w:rPr>
          <w:rFonts w:ascii="Century Gothic" w:hAnsi="Century Gothic" w:cs="Calibri"/>
        </w:rPr>
        <w:t>Ospedale</w:t>
      </w:r>
      <w:r w:rsidRPr="00E27F24">
        <w:rPr>
          <w:rFonts w:ascii="Century Gothic" w:hAnsi="Century Gothic" w:cs="Calibri"/>
        </w:rPr>
        <w:t>” gli fa eco Sergio Leonardi.</w:t>
      </w:r>
    </w:p>
    <w:p w:rsidR="00BC4D69" w:rsidRDefault="00E27F24" w:rsidP="00E27F24">
      <w:pPr>
        <w:jc w:val="both"/>
        <w:rPr>
          <w:rFonts w:ascii="Century Gothic" w:hAnsi="Century Gothic" w:cs="Calibri"/>
        </w:rPr>
      </w:pPr>
      <w:r w:rsidRPr="00E27F24">
        <w:rPr>
          <w:rFonts w:ascii="Century Gothic" w:hAnsi="Century Gothic" w:cs="Calibri"/>
        </w:rPr>
        <w:t xml:space="preserve">“Pensiamo che questo studio sia così importante da portare ad un cambiamento nelle linee guida internazionali sull’uso della digitale nei pazienti con fibrillazione atriale” </w:t>
      </w:r>
      <w:r w:rsidR="00BC4D69">
        <w:rPr>
          <w:rFonts w:ascii="Century Gothic" w:hAnsi="Century Gothic" w:cs="Calibri"/>
        </w:rPr>
        <w:t xml:space="preserve">Gaetano </w:t>
      </w:r>
      <w:r w:rsidRPr="00E27F24">
        <w:rPr>
          <w:rFonts w:ascii="Century Gothic" w:hAnsi="Century Gothic" w:cs="Calibri"/>
        </w:rPr>
        <w:t>De Ferrari</w:t>
      </w:r>
      <w:r w:rsidR="00BC4D69">
        <w:rPr>
          <w:rFonts w:ascii="Century Gothic" w:hAnsi="Century Gothic" w:cs="Calibri"/>
        </w:rPr>
        <w:t>, Direttore del Centro di Ricerca e dell’Unità di Terapia Intensiva Cardiologica</w:t>
      </w:r>
      <w:r w:rsidRPr="00E27F24">
        <w:rPr>
          <w:rFonts w:ascii="Century Gothic" w:hAnsi="Century Gothic" w:cs="Calibri"/>
        </w:rPr>
        <w:t xml:space="preserve">. “Crediamo che oggi prima di pensare alla digitale si debba provare ad usare tutti i farmaci alternativi, che sono più sicuri (ad esempio i beta-bloccanti). Se proprio non possiamo fare a meno di usarla, allora dobbiamo prescrivere la dose minima efficace e tenere sotto controllo le concentrazioni plasmatiche” conclude </w:t>
      </w:r>
      <w:r w:rsidR="00BC4D69">
        <w:rPr>
          <w:rFonts w:ascii="Century Gothic" w:hAnsi="Century Gothic" w:cs="Calibri"/>
        </w:rPr>
        <w:t>il cardiologo</w:t>
      </w:r>
      <w:r w:rsidRPr="00E27F24">
        <w:rPr>
          <w:rFonts w:ascii="Century Gothic" w:hAnsi="Century Gothic" w:cs="Calibri"/>
        </w:rPr>
        <w:t>.</w:t>
      </w:r>
    </w:p>
    <w:p w:rsidR="00BC4D69" w:rsidRDefault="00BC4D69" w:rsidP="00E27F24">
      <w:pPr>
        <w:jc w:val="both"/>
        <w:rPr>
          <w:rFonts w:ascii="Century Gothic" w:hAnsi="Century Gothic" w:cs="Calibri"/>
        </w:rPr>
      </w:pPr>
    </w:p>
    <w:p w:rsidR="00E27F24" w:rsidRPr="00E27F24" w:rsidRDefault="00BC4D69" w:rsidP="00E27F24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Ufficio Stampa</w:t>
      </w:r>
      <w:r w:rsidR="00E27F24" w:rsidRPr="00E27F24">
        <w:rPr>
          <w:rFonts w:ascii="Century Gothic" w:hAnsi="Century Gothic" w:cs="Calibri"/>
        </w:rPr>
        <w:t xml:space="preserve"> </w:t>
      </w:r>
    </w:p>
    <w:p w:rsidR="00E27F24" w:rsidRPr="00537DD5" w:rsidRDefault="00E27F24" w:rsidP="00E27F24">
      <w:pPr>
        <w:ind w:firstLine="708"/>
        <w:jc w:val="both"/>
      </w:pPr>
      <w:r w:rsidRPr="00537DD5">
        <w:rPr>
          <w:rFonts w:ascii="Calibri" w:hAnsi="Calibri" w:cs="Calibri"/>
        </w:rPr>
        <w:t xml:space="preserve"> </w:t>
      </w:r>
    </w:p>
    <w:p w:rsidR="00E27F24" w:rsidRPr="00717FE6" w:rsidRDefault="00E27F24" w:rsidP="00353BAF">
      <w:pPr>
        <w:spacing w:after="0" w:line="240" w:lineRule="auto"/>
        <w:rPr>
          <w:rFonts w:ascii="Century Gothic" w:hAnsi="Century Gothic" w:cs="Myanmar Text"/>
        </w:rPr>
      </w:pPr>
    </w:p>
    <w:sectPr w:rsidR="00E27F24" w:rsidRPr="00717FE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4F" w:rsidRDefault="00C3484F" w:rsidP="00C44E58">
      <w:pPr>
        <w:spacing w:after="0" w:line="240" w:lineRule="auto"/>
      </w:pPr>
      <w:r>
        <w:separator/>
      </w:r>
    </w:p>
  </w:endnote>
  <w:end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BC4D69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4F" w:rsidRDefault="00C3484F" w:rsidP="00C44E58">
      <w:pPr>
        <w:spacing w:after="0" w:line="240" w:lineRule="auto"/>
      </w:pPr>
      <w:r>
        <w:separator/>
      </w:r>
    </w:p>
  </w:footnote>
  <w:foot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Fax  0382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66AC"/>
    <w:rsid w:val="003378E7"/>
    <w:rsid w:val="00353BAF"/>
    <w:rsid w:val="00357FA7"/>
    <w:rsid w:val="003B2C6F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17FE6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4D69"/>
    <w:rsid w:val="00BC6962"/>
    <w:rsid w:val="00C3484F"/>
    <w:rsid w:val="00C44E58"/>
    <w:rsid w:val="00C80E0B"/>
    <w:rsid w:val="00C85BF1"/>
    <w:rsid w:val="00D12141"/>
    <w:rsid w:val="00D137AE"/>
    <w:rsid w:val="00DA1249"/>
    <w:rsid w:val="00DA2F76"/>
    <w:rsid w:val="00DB24D8"/>
    <w:rsid w:val="00DC1227"/>
    <w:rsid w:val="00DC49B7"/>
    <w:rsid w:val="00DD6B6A"/>
    <w:rsid w:val="00DF28AE"/>
    <w:rsid w:val="00DF4284"/>
    <w:rsid w:val="00E15DBC"/>
    <w:rsid w:val="00E23D6B"/>
    <w:rsid w:val="00E27F24"/>
    <w:rsid w:val="00E73147"/>
    <w:rsid w:val="00EC5003"/>
    <w:rsid w:val="00F05526"/>
    <w:rsid w:val="00F068D5"/>
    <w:rsid w:val="00F652A7"/>
    <w:rsid w:val="00F8694E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FB63E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Antonio Urti</cp:lastModifiedBy>
  <cp:revision>2</cp:revision>
  <cp:lastPrinted>2017-12-20T14:43:00Z</cp:lastPrinted>
  <dcterms:created xsi:type="dcterms:W3CDTF">2018-03-17T18:05:00Z</dcterms:created>
  <dcterms:modified xsi:type="dcterms:W3CDTF">2018-03-17T18:05:00Z</dcterms:modified>
</cp:coreProperties>
</file>